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Szereted a történeteket? Szívesen találsz ki te is néha egyet?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Gondolkodnál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és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játszanál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másokkal közösen egy történet kapcsán? Vagy akár bele is szállnál, és kipróbálnál egy szerepet? Akkor ezt az alkotókört neked találták ki!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Gyere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színjátszóra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ha szívesen részt vennél egy közös alkotásban, jobban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megismernéd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az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évfolyamtársaidat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és a színházi gondolkodást!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közös munka a csoport közösséggé formálásával, az érdeklődési területek felmérésével kezdődik. A csoportot foglalkoztató témákkal dolgozunk tovább, ezekből készítünk egy saját történet,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melyet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aztán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előadássá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formálunk. A hangsúly mindvégig a közös gondolkodáson, a világ és a társadalmunk új irányból, színházi eszközökkel történő felfedezésén van. A heti rendszerességű drámajátékos foglalkozásokon megtanuljuk pontosabban kifejezni érzelmeinket és gondolatainkat, óhatatlanul fejlődnek szociális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készségeink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és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vitakultúránk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valamint egyre bátrabban teszünk fel kérdéseket a világ dolgaival kapcsolatban, így kritikusabbá és érzékenyebbé válunk. Nem utolsó sorban pedig jól érezzük magunkat, miközben közösen létrehozunk egy alkotást, ami csak a miénk. Az előadás bemutatásra kerül az iskolában, és érdeklődés esetén az Országos Gyermekszínjátszó Fesztiválra is benyújthatjuk nevezésünk, ezzel egy nagyobb színjátszó közösséghez kapcsolódva, és számtalan új élményt szerezve.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Fodor Fanni vagyok, volt AKG-s, drámainstruktor. 2014-ben érettségiztem, utána pedig a Színház- és Filmművészeti Egyetemre jártam. Az egyetem óta az Örkény Színház ÖrkényKÖZ műhelyében és a Paralel Alkotócsoportban tevékenykedem. Most örömmel térek vissza az AKG-ba, ahol én is sok évet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színjátszóztam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!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