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Szereted a történeteket? Szívesen találsz ki te is néha egyet?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Gondolkodnál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és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játszanál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másokkal közösen egy történet kapcsán? Vagy akár bele is szállnál, és kipróbálnál egy szerepet? Akkor ezt az alkotókört neked találták ki!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Gyere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színjátszóra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, ha szívesen részt vennél egy közös alkotásban, jobban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megismernéd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az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évfolyamtársaidat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és a színházi gondolkodást!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közös munka a csoport közösséggé formálásával, az érdeklődési területek felmérésével kezdődik. A csoportot foglalkoztató témákkal dolgozunk tovább, ezekből készítünk egy saját történet,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melyet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aztán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előadássá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formálunk. A hangsúly mindvégig a közös gondolkodáson, a világ és a társadalmunk új irányból, színházi eszközökkel történő felfedezésén van. A heti rendszerességű drámajátékos foglalkozásokon megtanuljuk pontosabban kifejezni érzelmeinket és gondolatainkat, óhatatlanul fejlődnek szociális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készségeink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és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vitakultúránk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valamint egyre bátrabban teszünk fel kérdéseket a világ dolgaival kapcsolatban, így kritikusabbá és érzékenyebbé válunk. Nem utolsó sorban pedig jól érezzük magunkat, miközben közösen létrehozunk egy alkotást, ami csak a miénk. Az előadás bemutatásra kerül az iskolában, és érdeklődés esetén az Országos Gyermekszínjátszó Fesztiválra is benyújthatjuk nevezésünk, ezzel egy nagyobb színjátszó közösséghez kapcsolódva, és számtalan új élményt szerezve.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Fodor Fanni vagyok, volt AKG-s, drámainstruktor. 2014-ben érettségiztem, utána pedig a Színház- és Filmművészeti Egyetemre jártam. Az egyetem óta az Örkény Színház ÖrkényKÖZ műhelyében és a Paralel Alkotócsoportban tevékenykedem. Most örömmel térek vissza az AKG-ba, ahol én is sok évet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színjátszóztam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!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